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</w:t>
      </w: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ournitures classiques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Mme Caroline et Mme Sandrine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1ère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 primaire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-202</w:t>
      </w:r>
      <w:r w:rsidDel="00000000" w:rsidR="00000000" w:rsidRPr="00000000">
        <w:rPr>
          <w:sz w:val="36"/>
          <w:szCs w:val="36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Les fournitures classiques seront fournies directement aux P1 et P2 grâce au décret gratuité.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Voici la liste des fournitures à acheter vous-même.</w:t>
      </w:r>
    </w:p>
    <w:p w:rsidR="00000000" w:rsidDel="00000000" w:rsidP="00000000" w:rsidRDefault="00000000" w:rsidRPr="00000000" w14:paraId="00000011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70.999999999999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5953"/>
        <w:tblGridChange w:id="0">
          <w:tblGrid>
            <w:gridCol w:w="1418"/>
            <w:gridCol w:w="5953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Cartable pouvant contenir un gros classeur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vertAlign w:val="baseline"/>
                <w:rtl w:val="0"/>
              </w:rPr>
              <w:t xml:space="preserve">(pas de sac à dos merci)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Trousse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(les trousses contenant de petits élastiques pour y placer les marqueurs et les crayons sont à privilégier)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Rouleau d’essuie-tout</w:t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Boîte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de mouchoirs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Tenue de gymnastique : t-shirt de l’école (non obligatoire) ou blanc, baskets, short bleu ou noir, training en hiver le tout dans un sac prévu à cet effet. Le tout marqué au nom de l’enfant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Tenue de piscine + bonnet de l’école (non obligatoire) ou bonnet de couleur verte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Sac à diner pour le pique-nique (en-dehors du cartable)</w:t>
            </w:r>
          </w:p>
        </w:tc>
      </w:tr>
    </w:tbl>
    <w:p w:rsidR="00000000" w:rsidDel="00000000" w:rsidP="00000000" w:rsidRDefault="00000000" w:rsidRPr="00000000" w14:paraId="00000022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INFO IMPORTANTE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: quelques jours avant la rentrée (la date vous sera communiquée dès que possible), vous devrez venir chercher le matériel de votre enfant afin de pouvoir l’étiqueter individuellement. Celui-ci devra être apporté le jour de la rentrée.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 T-Shirt de gymnastique au logo de l’école et le bonnet de bain sont disponibles, sans obligation, chez Sportshop Factory 18-20, Chaussée de Nivelles 18-20 à 1420 Braine l’Alleud.</w:t>
      </w:r>
    </w:p>
    <w:p w:rsidR="00000000" w:rsidDel="00000000" w:rsidP="00000000" w:rsidRDefault="00000000" w:rsidRPr="00000000" w14:paraId="0000002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673" y="3109123"/>
                        <a:ext cx="3462655" cy="134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180" cy="1351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jUtB8BVh8Tk+a/Anfh/sjYzUw==">CgMxLjA4AHIhMWdNVERNMnlONFhYRlIxbmpnU3R5X0JVVDZmNkR6S3Qx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